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4ACD" w14:textId="50E4A473" w:rsidR="0048270C" w:rsidRDefault="003E314F" w:rsidP="0044673B">
      <w:pPr>
        <w:tabs>
          <w:tab w:val="left" w:pos="627"/>
        </w:tabs>
        <w:ind w:left="-426"/>
        <w:rPr>
          <w:rFonts w:ascii="Calibri" w:hAnsi="Calibri"/>
          <w:lang w:val="fr-FR"/>
        </w:rPr>
      </w:pPr>
      <w:r>
        <w:rPr>
          <w:rFonts w:ascii="Calibri" w:hAnsi="Calibri"/>
          <w:noProof/>
          <w:vertAlign w:val="subscript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E29C5" wp14:editId="7FFB2D40">
                <wp:simplePos x="0" y="0"/>
                <wp:positionH relativeFrom="column">
                  <wp:posOffset>-148590</wp:posOffset>
                </wp:positionH>
                <wp:positionV relativeFrom="paragraph">
                  <wp:posOffset>-635</wp:posOffset>
                </wp:positionV>
                <wp:extent cx="6385560" cy="1463040"/>
                <wp:effectExtent l="0" t="0" r="0" b="3810"/>
                <wp:wrapNone/>
                <wp:docPr id="7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63040"/>
                        </a:xfrm>
                        <a:prstGeom prst="rect">
                          <a:avLst/>
                        </a:prstGeom>
                        <a:solidFill>
                          <a:srgbClr val="2C56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E05C5" w14:textId="21E83A6F" w:rsidR="00CE48B6" w:rsidRDefault="00E1591F" w:rsidP="00CE48B6">
                            <w:pPr>
                              <w:pStyle w:val="FEHeadertitle"/>
                              <w:jc w:val="center"/>
                              <w:rPr>
                                <w:rFonts w:ascii="DIN 2014 Bold" w:hAnsi="DIN 2014 Bold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DIN 2014 Bold" w:hAnsi="DIN 2014 Bold"/>
                                <w:bCs/>
                                <w:lang w:val="en-GB"/>
                              </w:rPr>
                              <w:t xml:space="preserve">Fuels Europe </w:t>
                            </w:r>
                            <w:r w:rsidR="00434419">
                              <w:rPr>
                                <w:rFonts w:ascii="DIN 2014 Bold" w:hAnsi="DIN 2014 Bold"/>
                                <w:bCs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ascii="DIN 2014 Bold" w:hAnsi="DIN 2014 Bold"/>
                                <w:bCs/>
                                <w:lang w:val="en-GB"/>
                              </w:rPr>
                              <w:t>elcomes the expansion of the list of eligible</w:t>
                            </w:r>
                            <w:r w:rsidR="00CE48B6" w:rsidRPr="008E5DBD">
                              <w:rPr>
                                <w:rFonts w:ascii="DIN 2014 Bold" w:hAnsi="DIN 2014 Bold"/>
                                <w:bCs/>
                                <w:lang w:val="en-GB"/>
                              </w:rPr>
                              <w:t xml:space="preserve"> feedstocks in Annex IX of the Renewable Energy Directive</w:t>
                            </w:r>
                          </w:p>
                          <w:p w14:paraId="7E1A8D5C" w14:textId="77777777" w:rsidR="00CE48B6" w:rsidRPr="008E5DBD" w:rsidRDefault="00CE48B6" w:rsidP="008E5DBD">
                            <w:pPr>
                              <w:pStyle w:val="FEHeadertitle"/>
                              <w:jc w:val="center"/>
                              <w:rPr>
                                <w:rFonts w:ascii="DIN 2014 Bold" w:hAnsi="DIN 2014 Bold"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0" tIns="360000" rIns="36000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E29C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1.7pt;margin-top:-.05pt;width:502.8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" fillcolor="#2c5697" stroked="f">
                <v:textbox inset="10mm,10mm,10mm,10mm">
                  <w:txbxContent>
                    <w:p w14:paraId="5BAE05C5" w14:textId="21E83A6F" w:rsidR="00CE48B6" w:rsidRDefault="00E1591F" w:rsidP="00CE48B6">
                      <w:pPr>
                        <w:pStyle w:val="FEHeadertitle"/>
                        <w:jc w:val="center"/>
                        <w:rPr>
                          <w:rFonts w:ascii="DIN 2014 Bold" w:hAnsi="DIN 2014 Bold"/>
                          <w:bCs/>
                          <w:lang w:val="en-GB"/>
                        </w:rPr>
                      </w:pPr>
                      <w:r>
                        <w:rPr>
                          <w:rFonts w:ascii="DIN 2014 Bold" w:hAnsi="DIN 2014 Bold"/>
                          <w:bCs/>
                          <w:lang w:val="en-GB"/>
                        </w:rPr>
                        <w:t xml:space="preserve">Fuels Europe </w:t>
                      </w:r>
                      <w:r w:rsidR="00434419">
                        <w:rPr>
                          <w:rFonts w:ascii="DIN 2014 Bold" w:hAnsi="DIN 2014 Bold"/>
                          <w:bCs/>
                          <w:lang w:val="en-GB"/>
                        </w:rPr>
                        <w:t>w</w:t>
                      </w:r>
                      <w:r>
                        <w:rPr>
                          <w:rFonts w:ascii="DIN 2014 Bold" w:hAnsi="DIN 2014 Bold"/>
                          <w:bCs/>
                          <w:lang w:val="en-GB"/>
                        </w:rPr>
                        <w:t>elcomes the expansion of the list of eligible</w:t>
                      </w:r>
                      <w:r w:rsidR="00CE48B6" w:rsidRPr="008E5DBD">
                        <w:rPr>
                          <w:rFonts w:ascii="DIN 2014 Bold" w:hAnsi="DIN 2014 Bold"/>
                          <w:bCs/>
                          <w:lang w:val="en-GB"/>
                        </w:rPr>
                        <w:t xml:space="preserve"> feedstocks in Annex IX of the Renewable Energy Directive</w:t>
                      </w:r>
                    </w:p>
                    <w:p w14:paraId="7E1A8D5C" w14:textId="77777777" w:rsidR="00CE48B6" w:rsidRPr="008E5DBD" w:rsidRDefault="00CE48B6" w:rsidP="008E5DBD">
                      <w:pPr>
                        <w:pStyle w:val="FEHeadertitle"/>
                        <w:jc w:val="center"/>
                        <w:rPr>
                          <w:rFonts w:ascii="DIN 2014 Bold" w:hAnsi="DIN 2014 Bold"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73B">
        <w:rPr>
          <w:rFonts w:ascii="Calibri" w:hAnsi="Calibri"/>
          <w:lang w:val="fr-FR"/>
        </w:rPr>
        <w:tab/>
      </w:r>
    </w:p>
    <w:p w14:paraId="466DDEF7" w14:textId="692454A4" w:rsidR="0048270C" w:rsidRDefault="0048270C" w:rsidP="00746FB2">
      <w:pPr>
        <w:ind w:left="-426"/>
        <w:rPr>
          <w:rFonts w:ascii="Calibri" w:hAnsi="Calibri"/>
          <w:lang w:val="fr-FR"/>
        </w:rPr>
      </w:pPr>
    </w:p>
    <w:p w14:paraId="000F7915" w14:textId="77777777" w:rsidR="00923879" w:rsidRDefault="00923879" w:rsidP="00746FB2">
      <w:pPr>
        <w:ind w:left="-426"/>
        <w:rPr>
          <w:rFonts w:ascii="Calibri" w:hAnsi="Calibri"/>
          <w:lang w:val="fr-FR"/>
        </w:rPr>
      </w:pPr>
    </w:p>
    <w:p w14:paraId="6CA4DBD0" w14:textId="77777777" w:rsidR="0048270C" w:rsidRDefault="0048270C" w:rsidP="00746FB2">
      <w:pPr>
        <w:ind w:left="-426"/>
        <w:rPr>
          <w:rFonts w:ascii="Calibri" w:hAnsi="Calibri"/>
          <w:lang w:val="fr-FR"/>
        </w:rPr>
      </w:pPr>
    </w:p>
    <w:p w14:paraId="0B91BBD2" w14:textId="77777777" w:rsidR="0048270C" w:rsidRDefault="0048270C" w:rsidP="00746FB2">
      <w:pPr>
        <w:ind w:left="-426"/>
        <w:rPr>
          <w:rFonts w:ascii="Calibri" w:hAnsi="Calibri"/>
          <w:lang w:val="fr-FR"/>
        </w:rPr>
      </w:pPr>
    </w:p>
    <w:p w14:paraId="70DF0EC6" w14:textId="0352B6AA" w:rsidR="00923879" w:rsidRDefault="00923879" w:rsidP="00746FB2">
      <w:pPr>
        <w:ind w:left="-426"/>
        <w:rPr>
          <w:rFonts w:ascii="Calibri" w:hAnsi="Calibri"/>
          <w:lang w:val="fr-FR"/>
        </w:rPr>
      </w:pPr>
    </w:p>
    <w:p w14:paraId="3846B791" w14:textId="201A5145" w:rsidR="00923879" w:rsidRPr="00923879" w:rsidRDefault="00923879" w:rsidP="00746FB2">
      <w:pPr>
        <w:ind w:left="-426"/>
        <w:rPr>
          <w:rFonts w:ascii="Calibri" w:hAnsi="Calibri"/>
          <w:lang w:val="fr-FR"/>
        </w:rPr>
      </w:pPr>
    </w:p>
    <w:p w14:paraId="76BDCE09" w14:textId="77777777" w:rsidR="008A46E4" w:rsidRDefault="008A46E4" w:rsidP="008A46E4">
      <w:pPr>
        <w:widowControl w:val="0"/>
        <w:autoSpaceDE w:val="0"/>
        <w:autoSpaceDN w:val="0"/>
        <w:adjustRightInd w:val="0"/>
        <w:jc w:val="both"/>
        <w:rPr>
          <w:rFonts w:ascii="DIN-Regular" w:hAnsi="DIN-Regular" w:cs="Times New Roman"/>
          <w:color w:val="000000" w:themeColor="text1"/>
          <w:sz w:val="18"/>
          <w:szCs w:val="18"/>
          <w:lang w:val="fr-FR"/>
        </w:rPr>
        <w:sectPr w:rsidR="008A46E4" w:rsidSect="00B6553E">
          <w:headerReference w:type="default" r:id="rId8"/>
          <w:footerReference w:type="even" r:id="rId9"/>
          <w:footerReference w:type="default" r:id="rId10"/>
          <w:pgSz w:w="11900" w:h="16840"/>
          <w:pgMar w:top="1957" w:right="1134" w:bottom="1701" w:left="1134" w:header="0" w:footer="0" w:gutter="0"/>
          <w:cols w:space="708"/>
          <w:docGrid w:linePitch="360"/>
        </w:sectPr>
      </w:pPr>
    </w:p>
    <w:p w14:paraId="200996E0" w14:textId="487EC169" w:rsidR="008A46E4" w:rsidRDefault="00684FFA" w:rsidP="008A46E4">
      <w:pPr>
        <w:jc w:val="both"/>
        <w:rPr>
          <w:rFonts w:ascii="DIN-Regular" w:hAnsi="DIN-Regular"/>
          <w:color w:val="000000" w:themeColor="text1"/>
          <w:sz w:val="18"/>
          <w:szCs w:val="18"/>
          <w:lang w:val="fr-FR"/>
        </w:rPr>
        <w:sectPr w:rsidR="008A46E4" w:rsidSect="00B6553E">
          <w:type w:val="continuous"/>
          <w:pgSz w:w="11900" w:h="16840"/>
          <w:pgMar w:top="1957" w:right="1134" w:bottom="2835" w:left="1134" w:header="0" w:footer="0" w:gutter="0"/>
          <w:cols w:num="2" w:sep="1" w:space="709"/>
          <w:docGrid w:linePitch="360"/>
        </w:sectPr>
      </w:pPr>
      <w:r>
        <w:rPr>
          <w:rFonts w:ascii="Calibri" w:hAnsi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8A4B4" wp14:editId="553D8A5D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104890" cy="4800600"/>
                <wp:effectExtent l="0" t="0" r="10160" b="0"/>
                <wp:wrapTight wrapText="bothSides">
                  <wp:wrapPolygon edited="0">
                    <wp:start x="0" y="0"/>
                    <wp:lineTo x="0" y="21514"/>
                    <wp:lineTo x="21569" y="21514"/>
                    <wp:lineTo x="21569" y="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FB9F" w14:textId="77777777" w:rsidR="00D675F5" w:rsidRDefault="00D675F5" w:rsidP="008D46B6">
                            <w:pPr>
                              <w:pStyle w:val="FESubtitle"/>
                              <w:rPr>
                                <w:rFonts w:ascii="DIN 2014 Bold" w:hAnsi="DIN 2014 Bold"/>
                                <w:b w:val="0"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  <w:p w14:paraId="3ED81715" w14:textId="77777777" w:rsidR="008E5DBD" w:rsidRDefault="008E5DBD" w:rsidP="008D46B6">
                            <w:pPr>
                              <w:pStyle w:val="FESubtitle"/>
                              <w:rPr>
                                <w:rFonts w:ascii="DIN 2014 Bold" w:hAnsi="DIN 2014 Bold"/>
                                <w:b w:val="0"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  <w:p w14:paraId="65A899F6" w14:textId="7DE64DB2" w:rsidR="0045438A" w:rsidRPr="002B0B1E" w:rsidRDefault="0045438A" w:rsidP="008D46B6">
                            <w:pPr>
                              <w:pStyle w:val="FESubtitle"/>
                              <w:rPr>
                                <w:rFonts w:ascii="DIN 2014 Bold" w:hAnsi="DIN 2014 Bold"/>
                                <w:b w:val="0"/>
                                <w:bCs/>
                                <w:u w:val="single"/>
                                <w:lang w:val="en-GB"/>
                              </w:rPr>
                            </w:pPr>
                            <w:r w:rsidRPr="00E62448">
                              <w:rPr>
                                <w:rFonts w:ascii="DIN 2014 Bold" w:hAnsi="DIN 2014 Bold"/>
                                <w:b w:val="0"/>
                                <w:bCs/>
                                <w:u w:val="single"/>
                                <w:lang w:val="en-GB"/>
                              </w:rPr>
                              <w:t xml:space="preserve">Brussels, </w:t>
                            </w:r>
                            <w:r w:rsidR="00405745">
                              <w:rPr>
                                <w:rFonts w:ascii="DIN 2014 Bold" w:hAnsi="DIN 2014 Bold"/>
                                <w:b w:val="0"/>
                                <w:bCs/>
                                <w:u w:val="single"/>
                                <w:lang w:val="en-GB"/>
                              </w:rPr>
                              <w:t>24</w:t>
                            </w:r>
                            <w:r w:rsidRPr="00E62448">
                              <w:rPr>
                                <w:rFonts w:ascii="DIN 2014 Bold" w:hAnsi="DIN 2014 Bold"/>
                                <w:b w:val="0"/>
                                <w:bCs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40A3C">
                              <w:rPr>
                                <w:rFonts w:ascii="DIN 2014 Bold" w:hAnsi="DIN 2014 Bold"/>
                                <w:b w:val="0"/>
                                <w:bCs/>
                                <w:u w:val="single"/>
                                <w:lang w:val="en-GB"/>
                              </w:rPr>
                              <w:t>May</w:t>
                            </w:r>
                            <w:r w:rsidR="00840A3C" w:rsidRPr="00E62448">
                              <w:rPr>
                                <w:rFonts w:ascii="DIN 2014 Bold" w:hAnsi="DIN 2014 Bold"/>
                                <w:b w:val="0"/>
                                <w:bCs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E62448">
                              <w:rPr>
                                <w:rFonts w:ascii="DIN 2014 Bold" w:hAnsi="DIN 2014 Bold"/>
                                <w:b w:val="0"/>
                                <w:bCs/>
                                <w:u w:val="single"/>
                                <w:lang w:val="en-GB"/>
                              </w:rPr>
                              <w:t>2024</w:t>
                            </w:r>
                            <w:r w:rsidR="002B0B1E" w:rsidRPr="002B0B1E">
                              <w:rPr>
                                <w:lang w:val="en-GB"/>
                              </w:rPr>
                              <w:t xml:space="preserve"> </w:t>
                            </w:r>
                            <w:bookmarkStart w:id="0" w:name="_Hlk167355819"/>
                          </w:p>
                          <w:bookmarkEnd w:id="0"/>
                          <w:p w14:paraId="497FEF61" w14:textId="680CC642" w:rsidR="0045438A" w:rsidRPr="00FE4E1D" w:rsidRDefault="0045438A" w:rsidP="008D46B6">
                            <w:pPr>
                              <w:pStyle w:val="FESubtitle"/>
                              <w:rPr>
                                <w:rFonts w:ascii="DIN 2014 Bold" w:hAnsi="DIN 2014 Bold"/>
                                <w:bCs/>
                                <w:lang w:val="en-GB"/>
                              </w:rPr>
                            </w:pPr>
                          </w:p>
                          <w:p w14:paraId="4F65768A" w14:textId="65166FE4" w:rsidR="0045438A" w:rsidRPr="0045438A" w:rsidRDefault="0045438A" w:rsidP="0045438A">
                            <w:pPr>
                              <w:jc w:val="both"/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5438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FuelsEurope warmly welcomes the </w:t>
                            </w:r>
                            <w:r w:rsidR="00351784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entry into force on June </w:t>
                            </w:r>
                            <w:r w:rsidR="00BC4F17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  <w:r w:rsidR="00BC4F17" w:rsidRPr="00653F49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351784" w:rsidRPr="0045438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B0B1E" w:rsidRPr="0045438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of the </w:t>
                            </w:r>
                            <w:bookmarkStart w:id="1" w:name="_Hlk167371341"/>
                            <w:r w:rsidR="002B0B1E" w:rsidRPr="002B0B1E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C</w:t>
                            </w:r>
                            <w:r w:rsidR="007B0DE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ommission Delegated Directive</w:t>
                            </w:r>
                            <w:r w:rsidR="002B0B1E" w:rsidRPr="002B0B1E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(EU) 2024/1405 </w:t>
                            </w:r>
                            <w:bookmarkEnd w:id="1"/>
                            <w:r w:rsidR="002B0B1E" w:rsidRPr="002B0B1E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of 14 March 2024 </w:t>
                            </w:r>
                            <w:r w:rsidR="002B0B1E" w:rsidRPr="00E62448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amending</w:t>
                            </w:r>
                            <w:r w:rsidR="002B0B1E" w:rsidRPr="0045438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the list of sustainable biofuel and biogas feedstocks in Annex IX of the Renewable Energy Directive (EU) 2018/2001</w:t>
                            </w:r>
                            <w:r w:rsidR="00412CD7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12CD7" w:rsidRPr="000F32C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(the 'RED')</w:t>
                            </w:r>
                            <w:r w:rsidR="002B0B1E" w:rsidRPr="000F32C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="00E62448"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This updated list is a crucial element for our members to continue transforming and accelerating the production of biofuels</w:t>
                            </w:r>
                            <w:r w:rsidR="00E62448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, as it </w:t>
                            </w:r>
                            <w:r w:rsidR="00684FFA" w:rsidRPr="00684FF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expands the range of feedstocks that have significant potential to help achieve the EU’s </w:t>
                            </w:r>
                            <w:r w:rsidR="00684FF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climate targets. </w:t>
                            </w:r>
                          </w:p>
                          <w:p w14:paraId="02816CF2" w14:textId="77777777" w:rsidR="0045438A" w:rsidRPr="0045438A" w:rsidRDefault="0045438A" w:rsidP="0045438A">
                            <w:pPr>
                              <w:jc w:val="both"/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A3D271A" w14:textId="74EBE7EA" w:rsidR="0045438A" w:rsidRPr="0045438A" w:rsidRDefault="0045438A" w:rsidP="0045438A">
                            <w:pPr>
                              <w:jc w:val="both"/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Achieving transport decarboni</w:t>
                            </w:r>
                            <w:r w:rsidR="00071D13" w:rsidRPr="00D64232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ation and reaching net-zero emissions is unattainable without a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a significant ramp-up of biofuels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. The industry’s investment and production timelines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are measured in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decades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. The </w:t>
                            </w:r>
                            <w:r w:rsidR="00840A3C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RED's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Annex IX enshrines long-term clarity on </w:t>
                            </w:r>
                            <w:r w:rsidR="00B424E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renewable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feedstock classification</w:t>
                            </w:r>
                            <w:r w:rsidR="00B424E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and eligibility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="00B424E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A quick</w:t>
                            </w:r>
                            <w:r w:rsidR="00E1591F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840A3C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and consistent transposition of </w:t>
                            </w:r>
                            <w:r w:rsidR="00412CD7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its revision </w:t>
                            </w:r>
                            <w:r w:rsidR="00150BCB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by </w:t>
                            </w:r>
                            <w:r w:rsidR="000F32C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M</w:t>
                            </w:r>
                            <w:r w:rsidR="00150BCB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ember States </w:t>
                            </w:r>
                            <w:r w:rsidR="00840A3C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is </w:t>
                            </w:r>
                            <w:r w:rsidR="00412CD7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now </w:t>
                            </w:r>
                            <w:r w:rsidR="00840A3C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critical to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secure the required investments in </w:t>
                            </w:r>
                            <w:r w:rsidR="0061624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the newly added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feedstocks to boost production and meet the growing demand </w:t>
                            </w:r>
                            <w:r w:rsidR="0061624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for</w:t>
                            </w:r>
                            <w:r w:rsidR="00616244"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non-food competing </w:t>
                            </w:r>
                            <w:r w:rsidR="0061624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biofuels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5711EA36" w14:textId="77777777" w:rsidR="0045438A" w:rsidRPr="0045438A" w:rsidRDefault="0045438A" w:rsidP="0045438A">
                            <w:pPr>
                              <w:jc w:val="both"/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552FB52" w14:textId="2FA38CB1" w:rsidR="0045438A" w:rsidRPr="0045438A" w:rsidRDefault="0045438A" w:rsidP="0045438A">
                            <w:pPr>
                              <w:jc w:val="both"/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5438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The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inclusion of new feedstocks to </w:t>
                            </w:r>
                            <w:r w:rsidR="00E62448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Annex IX Part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A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will contribute to the EU’s ambitious combined target of using 5.5% of the energy consumed in transport in the form of advanced biofuels and renewable fuels of non-biological origin (RFNBOs) by 2030. </w:t>
                            </w:r>
                            <w:r w:rsidR="007A78A4" w:rsidRPr="007A78A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FuelsEurope particularly welcomes the inclusion of intermediate crops and crops grown on severely degraded land</w:t>
                            </w:r>
                            <w:r w:rsidR="007A78A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in Part A</w:t>
                            </w:r>
                            <w:r w:rsidR="007A78A4" w:rsidRPr="007A78A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, which broaden the range of eligible raw materials for </w:t>
                            </w:r>
                            <w:r w:rsidR="00412CD7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manufacturing </w:t>
                            </w:r>
                            <w:r w:rsidR="007A78A4" w:rsidRPr="007A78A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Sustainable Aviation Fuels</w:t>
                            </w:r>
                            <w:r w:rsidR="007A78A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(SAF)</w:t>
                            </w:r>
                            <w:r w:rsidR="007A78A4" w:rsidRPr="007A78A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A78A4"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as defined in ReFuelEU</w:t>
                            </w:r>
                            <w:r w:rsidR="002B0B1E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Aviation</w:t>
                            </w:r>
                            <w:r w:rsidR="00150BCB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(Regulation (EU) 2023 2405)</w:t>
                            </w:r>
                            <w:r w:rsidR="007A78A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This addition provides positive </w:t>
                            </w:r>
                            <w:r w:rsidR="007A78A4" w:rsidRPr="007A78A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market prospects for investing in these feedstocks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, helping in meeting the ambitious SAF mandate applicable to fuel suppliers, </w:t>
                            </w:r>
                            <w:r w:rsidR="00412CD7"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aircraft operators</w:t>
                            </w:r>
                            <w:r w:rsidR="00412CD7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and</w:t>
                            </w:r>
                            <w:r w:rsidR="00412CD7"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Union airports from 2025 onwards.</w:t>
                            </w:r>
                          </w:p>
                          <w:p w14:paraId="3B807399" w14:textId="77777777" w:rsidR="0045438A" w:rsidRPr="0045438A" w:rsidRDefault="0045438A" w:rsidP="0045438A">
                            <w:pPr>
                              <w:jc w:val="both"/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46FA171" w14:textId="49AE67B1" w:rsidR="00684FFA" w:rsidRDefault="0045438A" w:rsidP="0045438A">
                            <w:pPr>
                              <w:jc w:val="both"/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5438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Annex IX </w:t>
                            </w:r>
                            <w:r w:rsidR="00E62448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Part 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b/>
                                <w:bCs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B biofuels and biogas are critical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for achieving cost-efficient transport decarboni</w:t>
                            </w:r>
                            <w:r w:rsidR="00071D13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ation. The introduction of new feedstocks </w:t>
                            </w:r>
                            <w:r w:rsidR="007A78A4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in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Part B </w:t>
                            </w:r>
                            <w:r w:rsidR="007A78A4" w:rsidRPr="00684FF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necessitates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 increasing the 1.7% cap (RED Article 27.1 (c) (iv)) </w:t>
                            </w:r>
                            <w:r w:rsidR="007A78A4" w:rsidRPr="00684FF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for their contribution to the transport target to unlock investments and maximize biofuel potential for decarboni</w:t>
                            </w:r>
                            <w:r w:rsidR="00071D13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7A78A4" w:rsidRPr="00684FF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ation beyond the aviation sector</w:t>
                            </w:r>
                            <w:r w:rsidRPr="0045438A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 xml:space="preserve">. Without prejudice to the Member States’ right to request a local increase of that cap (RED Art. 27.2), FuelsEurope encourages the European Commission to consider adopting a delegated act and raise the cap consistently at the Union level in accordance with Articles 27.3 and 35 of the </w:t>
                            </w:r>
                            <w:r w:rsidR="00412CD7">
                              <w:rPr>
                                <w:rFonts w:ascii="DIN 2014" w:eastAsia="Calibri" w:hAnsi="DIN 2014" w:cs="Times New Roman"/>
                                <w:color w:val="2C5697"/>
                                <w:sz w:val="20"/>
                                <w:szCs w:val="20"/>
                                <w:lang w:eastAsia="en-US"/>
                              </w:rPr>
                              <w:t>RED.</w:t>
                            </w:r>
                          </w:p>
                          <w:p w14:paraId="7668B57F" w14:textId="77777777" w:rsidR="0045438A" w:rsidRPr="0045438A" w:rsidRDefault="0045438A" w:rsidP="0045438A">
                            <w:pPr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FE3594B" w14:textId="19E416C7" w:rsidR="008D46B6" w:rsidRPr="002B0B1E" w:rsidRDefault="00ED70E0" w:rsidP="002B0B1E">
                            <w:pPr>
                              <w:pStyle w:val="FESubtitle"/>
                              <w:jc w:val="center"/>
                              <w:rPr>
                                <w:rFonts w:ascii="DIN 2014 Bold" w:hAnsi="DIN 2014 Bold"/>
                                <w:b w:val="0"/>
                                <w:bCs/>
                                <w:lang w:val="en-GB"/>
                              </w:rPr>
                            </w:pPr>
                            <w:r w:rsidRPr="00ED70E0">
                              <w:rPr>
                                <w:b w:val="0"/>
                                <w:bCs/>
                              </w:rPr>
                              <w:t>- ENDS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A4B4" id="Text Box 7" o:spid="_x0000_s1027" type="#_x0000_t202" style="position:absolute;left:0;text-align:left;margin-left:429.5pt;margin-top:1.25pt;width:480.7pt;height:37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" filled="f" stroked="f">
                <v:textbox inset="0,0,0,0">
                  <w:txbxContent>
                    <w:p w14:paraId="5F8CFB9F" w14:textId="77777777" w:rsidR="00D675F5" w:rsidRDefault="00D675F5" w:rsidP="008D46B6">
                      <w:pPr>
                        <w:pStyle w:val="FESubtitle"/>
                        <w:rPr>
                          <w:rFonts w:ascii="DIN 2014 Bold" w:hAnsi="DIN 2014 Bold"/>
                          <w:b w:val="0"/>
                          <w:bCs/>
                          <w:u w:val="single"/>
                          <w:lang w:val="en-GB"/>
                        </w:rPr>
                      </w:pPr>
                    </w:p>
                    <w:p w14:paraId="3ED81715" w14:textId="77777777" w:rsidR="008E5DBD" w:rsidRDefault="008E5DBD" w:rsidP="008D46B6">
                      <w:pPr>
                        <w:pStyle w:val="FESubtitle"/>
                        <w:rPr>
                          <w:rFonts w:ascii="DIN 2014 Bold" w:hAnsi="DIN 2014 Bold"/>
                          <w:b w:val="0"/>
                          <w:bCs/>
                          <w:u w:val="single"/>
                          <w:lang w:val="en-GB"/>
                        </w:rPr>
                      </w:pPr>
                    </w:p>
                    <w:p w14:paraId="65A899F6" w14:textId="7DE64DB2" w:rsidR="0045438A" w:rsidRPr="002B0B1E" w:rsidRDefault="0045438A" w:rsidP="008D46B6">
                      <w:pPr>
                        <w:pStyle w:val="FESubtitle"/>
                        <w:rPr>
                          <w:rFonts w:ascii="DIN 2014 Bold" w:hAnsi="DIN 2014 Bold"/>
                          <w:b w:val="0"/>
                          <w:bCs/>
                          <w:u w:val="single"/>
                          <w:lang w:val="en-GB"/>
                        </w:rPr>
                      </w:pPr>
                      <w:r w:rsidRPr="00E62448">
                        <w:rPr>
                          <w:rFonts w:ascii="DIN 2014 Bold" w:hAnsi="DIN 2014 Bold"/>
                          <w:b w:val="0"/>
                          <w:bCs/>
                          <w:u w:val="single"/>
                          <w:lang w:val="en-GB"/>
                        </w:rPr>
                        <w:t xml:space="preserve">Brussels, </w:t>
                      </w:r>
                      <w:r w:rsidR="00405745">
                        <w:rPr>
                          <w:rFonts w:ascii="DIN 2014 Bold" w:hAnsi="DIN 2014 Bold"/>
                          <w:b w:val="0"/>
                          <w:bCs/>
                          <w:u w:val="single"/>
                          <w:lang w:val="en-GB"/>
                        </w:rPr>
                        <w:t>24</w:t>
                      </w:r>
                      <w:r w:rsidRPr="00E62448">
                        <w:rPr>
                          <w:rFonts w:ascii="DIN 2014 Bold" w:hAnsi="DIN 2014 Bold"/>
                          <w:b w:val="0"/>
                          <w:bCs/>
                          <w:u w:val="single"/>
                          <w:lang w:val="en-GB"/>
                        </w:rPr>
                        <w:t xml:space="preserve"> </w:t>
                      </w:r>
                      <w:r w:rsidR="00840A3C">
                        <w:rPr>
                          <w:rFonts w:ascii="DIN 2014 Bold" w:hAnsi="DIN 2014 Bold"/>
                          <w:b w:val="0"/>
                          <w:bCs/>
                          <w:u w:val="single"/>
                          <w:lang w:val="en-GB"/>
                        </w:rPr>
                        <w:t>May</w:t>
                      </w:r>
                      <w:r w:rsidR="00840A3C" w:rsidRPr="00E62448">
                        <w:rPr>
                          <w:rFonts w:ascii="DIN 2014 Bold" w:hAnsi="DIN 2014 Bold"/>
                          <w:b w:val="0"/>
                          <w:bCs/>
                          <w:u w:val="single"/>
                          <w:lang w:val="en-GB"/>
                        </w:rPr>
                        <w:t xml:space="preserve"> </w:t>
                      </w:r>
                      <w:r w:rsidRPr="00E62448">
                        <w:rPr>
                          <w:rFonts w:ascii="DIN 2014 Bold" w:hAnsi="DIN 2014 Bold"/>
                          <w:b w:val="0"/>
                          <w:bCs/>
                          <w:u w:val="single"/>
                          <w:lang w:val="en-GB"/>
                        </w:rPr>
                        <w:t>2024</w:t>
                      </w:r>
                      <w:r w:rsidR="002B0B1E" w:rsidRPr="002B0B1E">
                        <w:rPr>
                          <w:lang w:val="en-GB"/>
                        </w:rPr>
                        <w:t xml:space="preserve"> </w:t>
                      </w:r>
                      <w:bookmarkStart w:id="2" w:name="_Hlk167355819"/>
                    </w:p>
                    <w:bookmarkEnd w:id="2"/>
                    <w:p w14:paraId="497FEF61" w14:textId="680CC642" w:rsidR="0045438A" w:rsidRPr="00FE4E1D" w:rsidRDefault="0045438A" w:rsidP="008D46B6">
                      <w:pPr>
                        <w:pStyle w:val="FESubtitle"/>
                        <w:rPr>
                          <w:rFonts w:ascii="DIN 2014 Bold" w:hAnsi="DIN 2014 Bold"/>
                          <w:bCs/>
                          <w:lang w:val="en-GB"/>
                        </w:rPr>
                      </w:pPr>
                    </w:p>
                    <w:p w14:paraId="4F65768A" w14:textId="65166FE4" w:rsidR="0045438A" w:rsidRPr="0045438A" w:rsidRDefault="0045438A" w:rsidP="0045438A">
                      <w:pPr>
                        <w:jc w:val="both"/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</w:pPr>
                      <w:r w:rsidRPr="0045438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FuelsEurope warmly welcomes the </w:t>
                      </w:r>
                      <w:r w:rsidR="00351784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entry into force on June </w:t>
                      </w:r>
                      <w:r w:rsidR="00BC4F17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>7</w:t>
                      </w:r>
                      <w:r w:rsidR="00BC4F17" w:rsidRPr="00653F49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vertAlign w:val="superscript"/>
                          <w:lang w:eastAsia="en-US"/>
                        </w:rPr>
                        <w:t>th</w:t>
                      </w:r>
                      <w:r w:rsidR="00351784" w:rsidRPr="0045438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B0B1E" w:rsidRPr="0045438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of the </w:t>
                      </w:r>
                      <w:bookmarkStart w:id="3" w:name="_Hlk167371341"/>
                      <w:r w:rsidR="002B0B1E" w:rsidRPr="002B0B1E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>C</w:t>
                      </w:r>
                      <w:r w:rsidR="007B0DE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>ommission Delegated Directive</w:t>
                      </w:r>
                      <w:r w:rsidR="002B0B1E" w:rsidRPr="002B0B1E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(EU) 2024/1405 </w:t>
                      </w:r>
                      <w:bookmarkEnd w:id="3"/>
                      <w:r w:rsidR="002B0B1E" w:rsidRPr="002B0B1E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of 14 March 2024 </w:t>
                      </w:r>
                      <w:r w:rsidR="002B0B1E" w:rsidRPr="00E62448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>amending</w:t>
                      </w:r>
                      <w:r w:rsidR="002B0B1E" w:rsidRPr="0045438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the list of sustainable biofuel and biogas feedstocks in Annex IX of the Renewable Energy Directive (EU) 2018/2001</w:t>
                      </w:r>
                      <w:r w:rsidR="00412CD7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12CD7" w:rsidRPr="000F32C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(the 'RED')</w:t>
                      </w:r>
                      <w:r w:rsidR="002B0B1E" w:rsidRPr="000F32C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="00E62448"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This updated list is a crucial element for our members to continue transforming and accelerating the production of biofuels</w:t>
                      </w:r>
                      <w:r w:rsidR="00E62448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, as it </w:t>
                      </w:r>
                      <w:r w:rsidR="00684FFA" w:rsidRPr="00684FF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expands the range of feedstocks that have significant potential to help achieve the EU’s </w:t>
                      </w:r>
                      <w:r w:rsidR="00684FF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climate targets. </w:t>
                      </w:r>
                    </w:p>
                    <w:p w14:paraId="02816CF2" w14:textId="77777777" w:rsidR="0045438A" w:rsidRPr="0045438A" w:rsidRDefault="0045438A" w:rsidP="0045438A">
                      <w:pPr>
                        <w:jc w:val="both"/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A3D271A" w14:textId="74EBE7EA" w:rsidR="0045438A" w:rsidRPr="0045438A" w:rsidRDefault="0045438A" w:rsidP="0045438A">
                      <w:pPr>
                        <w:jc w:val="both"/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</w:pP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Achieving transport decarboni</w:t>
                      </w:r>
                      <w:r w:rsidR="00071D13" w:rsidRPr="00D64232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ation and reaching net-zero emissions is unattainable without a 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a significant ramp-up of biofuels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. The industry’s investment and production timelines 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are measured in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decades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. The </w:t>
                      </w:r>
                      <w:r w:rsidR="00840A3C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RED's 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Annex IX enshrines long-term clarity on </w:t>
                      </w:r>
                      <w:r w:rsidR="00B424E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renewable 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feedstock classification</w:t>
                      </w:r>
                      <w:r w:rsidR="00B424E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and eligibility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="00B424E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A quick</w:t>
                      </w:r>
                      <w:r w:rsidR="00E1591F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840A3C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and consistent transposition of </w:t>
                      </w:r>
                      <w:r w:rsidR="00412CD7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its revision </w:t>
                      </w:r>
                      <w:r w:rsidR="00150BCB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by </w:t>
                      </w:r>
                      <w:r w:rsidR="000F32C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M</w:t>
                      </w:r>
                      <w:r w:rsidR="00150BCB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ember States </w:t>
                      </w:r>
                      <w:r w:rsidR="00840A3C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is </w:t>
                      </w:r>
                      <w:r w:rsidR="00412CD7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now </w:t>
                      </w:r>
                      <w:r w:rsidR="00840A3C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critical to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secure the required investments in </w:t>
                      </w:r>
                      <w:r w:rsidR="0061624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the newly added 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feedstocks to boost production and meet the growing demand </w:t>
                      </w:r>
                      <w:r w:rsidR="0061624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for</w:t>
                      </w:r>
                      <w:r w:rsidR="00616244"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non-food competing </w:t>
                      </w:r>
                      <w:r w:rsidR="0061624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biofuels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5711EA36" w14:textId="77777777" w:rsidR="0045438A" w:rsidRPr="0045438A" w:rsidRDefault="0045438A" w:rsidP="0045438A">
                      <w:pPr>
                        <w:jc w:val="both"/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552FB52" w14:textId="2FA38CB1" w:rsidR="0045438A" w:rsidRPr="0045438A" w:rsidRDefault="0045438A" w:rsidP="0045438A">
                      <w:pPr>
                        <w:jc w:val="both"/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</w:pPr>
                      <w:r w:rsidRPr="0045438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>The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5438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inclusion of new feedstocks to </w:t>
                      </w:r>
                      <w:r w:rsidR="00E62448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>Annex IX Part</w:t>
                      </w:r>
                      <w:r w:rsidRPr="0045438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A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will contribute to the EU’s ambitious combined target of using 5.5% of the energy consumed in transport in the form of advanced biofuels and renewable fuels of non-biological origin (RFNBOs) by 2030. </w:t>
                      </w:r>
                      <w:r w:rsidR="007A78A4" w:rsidRPr="007A78A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FuelsEurope particularly welcomes the inclusion of intermediate crops and crops grown on severely degraded land</w:t>
                      </w:r>
                      <w:r w:rsidR="007A78A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in Part A</w:t>
                      </w:r>
                      <w:r w:rsidR="007A78A4" w:rsidRPr="007A78A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, which broaden the range of eligible raw materials for </w:t>
                      </w:r>
                      <w:r w:rsidR="00412CD7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manufacturing </w:t>
                      </w:r>
                      <w:r w:rsidR="007A78A4" w:rsidRPr="007A78A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Sustainable Aviation Fuels</w:t>
                      </w:r>
                      <w:r w:rsidR="007A78A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(SAF)</w:t>
                      </w:r>
                      <w:r w:rsidR="007A78A4" w:rsidRPr="007A78A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A78A4"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as defined in ReFuelEU</w:t>
                      </w:r>
                      <w:r w:rsidR="002B0B1E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Aviation</w:t>
                      </w:r>
                      <w:r w:rsidR="00150BCB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(Regulation (EU) 2023 2405)</w:t>
                      </w:r>
                      <w:r w:rsidR="007A78A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This addition provides positive </w:t>
                      </w:r>
                      <w:r w:rsidR="007A78A4" w:rsidRPr="007A78A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market prospects for investing in these feedstocks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, helping in meeting the ambitious SAF mandate applicable to fuel suppliers, </w:t>
                      </w:r>
                      <w:r w:rsidR="00412CD7"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aircraft operators</w:t>
                      </w:r>
                      <w:r w:rsidR="00412CD7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and</w:t>
                      </w:r>
                      <w:r w:rsidR="00412CD7"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Union airports from 2025 onwards.</w:t>
                      </w:r>
                    </w:p>
                    <w:p w14:paraId="3B807399" w14:textId="77777777" w:rsidR="0045438A" w:rsidRPr="0045438A" w:rsidRDefault="0045438A" w:rsidP="0045438A">
                      <w:pPr>
                        <w:jc w:val="both"/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46FA171" w14:textId="49AE67B1" w:rsidR="00684FFA" w:rsidRDefault="0045438A" w:rsidP="0045438A">
                      <w:pPr>
                        <w:jc w:val="both"/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</w:pPr>
                      <w:r w:rsidRPr="0045438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Annex IX </w:t>
                      </w:r>
                      <w:r w:rsidR="00E62448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Part </w:t>
                      </w:r>
                      <w:r w:rsidRPr="0045438A">
                        <w:rPr>
                          <w:rFonts w:ascii="DIN 2014" w:eastAsia="Calibri" w:hAnsi="DIN 2014" w:cs="Times New Roman"/>
                          <w:b/>
                          <w:bCs/>
                          <w:color w:val="2C5697"/>
                          <w:sz w:val="20"/>
                          <w:szCs w:val="20"/>
                          <w:lang w:eastAsia="en-US"/>
                        </w:rPr>
                        <w:t>B biofuels and biogas are critical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for achieving cost-efficient transport decarboni</w:t>
                      </w:r>
                      <w:r w:rsidR="00071D13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ation. The introduction of new feedstocks </w:t>
                      </w:r>
                      <w:r w:rsidR="007A78A4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in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Part B </w:t>
                      </w:r>
                      <w:r w:rsidR="007A78A4" w:rsidRPr="00684FF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necessitates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 increasing the 1.7% cap (RED Article 27.1 (c) (iv)) </w:t>
                      </w:r>
                      <w:r w:rsidR="007A78A4" w:rsidRPr="00684FF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for their contribution to the transport target to unlock investments and maximize biofuel potential for decarboni</w:t>
                      </w:r>
                      <w:r w:rsidR="00071D13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7A78A4" w:rsidRPr="00684FF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ation beyond the aviation sector</w:t>
                      </w:r>
                      <w:r w:rsidRPr="0045438A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 xml:space="preserve">. Without prejudice to the Member States’ right to request a local increase of that cap (RED Art. 27.2), FuelsEurope encourages the European Commission to consider adopting a delegated act and raise the cap consistently at the Union level in accordance with Articles 27.3 and 35 of the </w:t>
                      </w:r>
                      <w:r w:rsidR="00412CD7">
                        <w:rPr>
                          <w:rFonts w:ascii="DIN 2014" w:eastAsia="Calibri" w:hAnsi="DIN 2014" w:cs="Times New Roman"/>
                          <w:color w:val="2C5697"/>
                          <w:sz w:val="20"/>
                          <w:szCs w:val="20"/>
                          <w:lang w:eastAsia="en-US"/>
                        </w:rPr>
                        <w:t>RED.</w:t>
                      </w:r>
                    </w:p>
                    <w:p w14:paraId="7668B57F" w14:textId="77777777" w:rsidR="0045438A" w:rsidRPr="0045438A" w:rsidRDefault="0045438A" w:rsidP="0045438A">
                      <w:pPr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FE3594B" w14:textId="19E416C7" w:rsidR="008D46B6" w:rsidRPr="002B0B1E" w:rsidRDefault="00ED70E0" w:rsidP="002B0B1E">
                      <w:pPr>
                        <w:pStyle w:val="FESubtitle"/>
                        <w:jc w:val="center"/>
                        <w:rPr>
                          <w:rFonts w:ascii="DIN 2014 Bold" w:hAnsi="DIN 2014 Bold"/>
                          <w:b w:val="0"/>
                          <w:bCs/>
                          <w:lang w:val="en-GB"/>
                        </w:rPr>
                      </w:pPr>
                      <w:r w:rsidRPr="00ED70E0">
                        <w:rPr>
                          <w:b w:val="0"/>
                          <w:bCs/>
                        </w:rPr>
                        <w:t>- ENDS -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D83605" w14:textId="41CEA293" w:rsidR="006066FD" w:rsidRPr="006541DD" w:rsidRDefault="00D675F5" w:rsidP="006541DD">
      <w:pPr>
        <w:tabs>
          <w:tab w:val="left" w:pos="3320"/>
        </w:tabs>
        <w:rPr>
          <w:rFonts w:ascii="DIN-Regular" w:hAnsi="DIN-Regular"/>
          <w:sz w:val="18"/>
          <w:szCs w:val="18"/>
          <w:lang w:val="fr-FR"/>
        </w:rPr>
      </w:pPr>
      <w:r>
        <w:rPr>
          <w:rFonts w:ascii="DIN-Regular" w:hAnsi="DIN-Regular"/>
          <w:noProof/>
          <w:color w:val="000000" w:themeColor="text1"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417F13" wp14:editId="77568033">
                <wp:simplePos x="0" y="0"/>
                <wp:positionH relativeFrom="column">
                  <wp:posOffset>-184150</wp:posOffset>
                </wp:positionH>
                <wp:positionV relativeFrom="paragraph">
                  <wp:posOffset>4855210</wp:posOffset>
                </wp:positionV>
                <wp:extent cx="6489700" cy="2058670"/>
                <wp:effectExtent l="0" t="0" r="6350" b="2540"/>
                <wp:wrapTight wrapText="bothSides">
                  <wp:wrapPolygon edited="0">
                    <wp:start x="0" y="0"/>
                    <wp:lineTo x="0" y="21336"/>
                    <wp:lineTo x="21558" y="21336"/>
                    <wp:lineTo x="21558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058670"/>
                        </a:xfrm>
                        <a:prstGeom prst="rect">
                          <a:avLst/>
                        </a:prstGeom>
                        <a:solidFill>
                          <a:srgbClr val="2C56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4F161" w14:textId="2150615F" w:rsidR="00ED70E0" w:rsidRDefault="00ED70E0" w:rsidP="00ED70E0">
                            <w:pPr>
                              <w:jc w:val="center"/>
                            </w:pPr>
                            <w:r w:rsidRPr="00ED70E0">
                              <w:rPr>
                                <w:noProof/>
                              </w:rPr>
                              <w:drawing>
                                <wp:inline distT="0" distB="0" distL="0" distR="0" wp14:anchorId="78081EFD" wp14:editId="6602F08E">
                                  <wp:extent cx="5670782" cy="967740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5202" cy="96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70E0">
                              <w:rPr>
                                <w:noProof/>
                              </w:rPr>
                              <w:drawing>
                                <wp:inline distT="0" distB="0" distL="0" distR="0" wp14:anchorId="1CD5620E" wp14:editId="628C19F6">
                                  <wp:extent cx="5715000" cy="9144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7F13" id="Rectangle 2" o:spid="_x0000_s1028" style="position:absolute;margin-left:-14.5pt;margin-top:382.3pt;width:511pt;height:162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" fillcolor="#2c5697" stroked="f">
                <v:textbox>
                  <w:txbxContent>
                    <w:p w14:paraId="7E04F161" w14:textId="2150615F" w:rsidR="00ED70E0" w:rsidRDefault="00ED70E0" w:rsidP="00ED70E0">
                      <w:pPr>
                        <w:jc w:val="center"/>
                      </w:pPr>
                      <w:r w:rsidRPr="00ED70E0">
                        <w:rPr>
                          <w:noProof/>
                        </w:rPr>
                        <w:drawing>
                          <wp:inline distT="0" distB="0" distL="0" distR="0" wp14:anchorId="78081EFD" wp14:editId="6602F08E">
                            <wp:extent cx="5670782" cy="967740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5202" cy="96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70E0">
                        <w:rPr>
                          <w:noProof/>
                        </w:rPr>
                        <w:drawing>
                          <wp:inline distT="0" distB="0" distL="0" distR="0" wp14:anchorId="1CD5620E" wp14:editId="628C19F6">
                            <wp:extent cx="5715000" cy="9144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6066FD" w:rsidRPr="006541DD" w:rsidSect="008A46E4">
      <w:type w:val="continuous"/>
      <w:pgSz w:w="11900" w:h="16840"/>
      <w:pgMar w:top="195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900A" w14:textId="77777777" w:rsidR="003B0D6B" w:rsidRDefault="003B0D6B" w:rsidP="002872C2">
      <w:r>
        <w:separator/>
      </w:r>
    </w:p>
  </w:endnote>
  <w:endnote w:type="continuationSeparator" w:id="0">
    <w:p w14:paraId="4FDECD98" w14:textId="77777777" w:rsidR="003B0D6B" w:rsidRDefault="003B0D6B" w:rsidP="002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DIN-Regular">
    <w:panose1 w:val="02000503040000020003"/>
    <w:charset w:val="00"/>
    <w:family w:val="auto"/>
    <w:pitch w:val="variable"/>
    <w:sig w:usb0="00000003" w:usb1="00000000" w:usb2="00000000" w:usb3="00000000" w:csb0="00000001" w:csb1="00000000"/>
  </w:font>
  <w:font w:name="DIN-Medium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DIN 2014 Light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DIN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N 2014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A6F4" w14:textId="77777777" w:rsidR="008D46B6" w:rsidRDefault="008D46B6" w:rsidP="00050A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27FFC" w14:textId="77777777" w:rsidR="008D46B6" w:rsidRDefault="008D46B6" w:rsidP="0005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52E4" w14:textId="77777777" w:rsidR="008D46B6" w:rsidRPr="00493DCD" w:rsidRDefault="008D46B6" w:rsidP="00493DCD">
    <w:pPr>
      <w:pStyle w:val="Footer"/>
      <w:framePr w:w="401" w:h="191" w:hRule="exact" w:wrap="around" w:vAnchor="text" w:hAnchor="page" w:x="10371" w:y="-385"/>
      <w:ind w:left="284" w:hanging="284"/>
      <w:jc w:val="right"/>
      <w:rPr>
        <w:rStyle w:val="PageNumber"/>
        <w:color w:val="69B3E7"/>
      </w:rPr>
    </w:pPr>
    <w:r w:rsidRPr="00493DCD">
      <w:rPr>
        <w:rStyle w:val="PageNumber"/>
        <w:rFonts w:ascii="DIN-Medium" w:hAnsi="DIN-Medium"/>
        <w:color w:val="69B3E7"/>
        <w:sz w:val="16"/>
      </w:rPr>
      <w:fldChar w:fldCharType="begin"/>
    </w:r>
    <w:r w:rsidRPr="00493DCD">
      <w:rPr>
        <w:rStyle w:val="PageNumber"/>
        <w:rFonts w:ascii="DIN-Medium" w:hAnsi="DIN-Medium"/>
        <w:color w:val="69B3E7"/>
        <w:sz w:val="16"/>
      </w:rPr>
      <w:instrText xml:space="preserve">PAGE  </w:instrText>
    </w:r>
    <w:r w:rsidRPr="00493DCD">
      <w:rPr>
        <w:rStyle w:val="PageNumber"/>
        <w:rFonts w:ascii="DIN-Medium" w:hAnsi="DIN-Medium"/>
        <w:color w:val="69B3E7"/>
        <w:sz w:val="16"/>
      </w:rPr>
      <w:fldChar w:fldCharType="separate"/>
    </w:r>
    <w:r w:rsidR="001B7F05">
      <w:rPr>
        <w:rStyle w:val="PageNumber"/>
        <w:rFonts w:ascii="DIN-Medium" w:hAnsi="DIN-Medium"/>
        <w:noProof/>
        <w:color w:val="69B3E7"/>
        <w:sz w:val="16"/>
      </w:rPr>
      <w:t>1</w:t>
    </w:r>
    <w:r w:rsidRPr="00493DCD">
      <w:rPr>
        <w:rStyle w:val="PageNumber"/>
        <w:rFonts w:ascii="DIN-Medium" w:hAnsi="DIN-Medium"/>
        <w:color w:val="69B3E7"/>
        <w:sz w:val="16"/>
      </w:rPr>
      <w:fldChar w:fldCharType="end"/>
    </w:r>
  </w:p>
  <w:p w14:paraId="3D47B51E" w14:textId="30167817" w:rsidR="008D46B6" w:rsidRDefault="003E314F" w:rsidP="00C0370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B559F7" wp14:editId="383DA602">
              <wp:simplePos x="0" y="0"/>
              <wp:positionH relativeFrom="margin">
                <wp:posOffset>4660265</wp:posOffset>
              </wp:positionH>
              <wp:positionV relativeFrom="paragraph">
                <wp:posOffset>-766445</wp:posOffset>
              </wp:positionV>
              <wp:extent cx="1743075" cy="62293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18C54" w14:textId="77777777" w:rsidR="006A2694" w:rsidRPr="001B6B76" w:rsidRDefault="006A2694" w:rsidP="006A2694">
                          <w:pPr>
                            <w:pStyle w:val="BasicParagraph"/>
                            <w:jc w:val="right"/>
                            <w:rPr>
                              <w:rFonts w:ascii="DIN 2014 Light" w:hAnsi="DIN 2014 Light" w:cs="DIN"/>
                              <w:color w:val="1552A0"/>
                              <w:sz w:val="18"/>
                              <w:szCs w:val="18"/>
                            </w:rPr>
                          </w:pPr>
                          <w:r w:rsidRPr="001B6B76">
                            <w:rPr>
                              <w:rFonts w:ascii="DIN 2014 Light" w:hAnsi="DIN 2014 Light" w:cs="DIN"/>
                              <w:color w:val="1552A0"/>
                              <w:sz w:val="18"/>
                              <w:szCs w:val="18"/>
                            </w:rPr>
                            <w:t>Transparency Register</w:t>
                          </w:r>
                        </w:p>
                        <w:p w14:paraId="0E514829" w14:textId="77777777" w:rsidR="006A2694" w:rsidRPr="001B6B76" w:rsidRDefault="006A2694" w:rsidP="006A2694">
                          <w:pPr>
                            <w:pStyle w:val="BasicParagraph"/>
                            <w:jc w:val="right"/>
                            <w:rPr>
                              <w:rFonts w:ascii="DIN 2014 Light" w:hAnsi="DIN 2014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B6B76">
                            <w:rPr>
                              <w:rFonts w:ascii="DIN 2014 Light" w:hAnsi="DIN 2014 Light" w:cs="DIN"/>
                              <w:color w:val="1552A0"/>
                              <w:sz w:val="18"/>
                              <w:szCs w:val="18"/>
                            </w:rPr>
                            <w:t>26207914726-42</w:t>
                          </w:r>
                        </w:p>
                        <w:p w14:paraId="5F4A17F9" w14:textId="77777777" w:rsidR="006A2694" w:rsidRPr="00C910A0" w:rsidRDefault="006A2694" w:rsidP="006A2694">
                          <w:pPr>
                            <w:ind w:right="-114"/>
                            <w:jc w:val="center"/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360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559F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366.95pt;margin-top:-60.35pt;width:137.25pt;height:49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" filled="f" stroked="f">
              <v:textbox inset=",7.2pt,10mm,7.2pt">
                <w:txbxContent>
                  <w:p w14:paraId="59618C54" w14:textId="77777777" w:rsidR="006A2694" w:rsidRPr="001B6B76" w:rsidRDefault="006A2694" w:rsidP="006A2694">
                    <w:pPr>
                      <w:pStyle w:val="BasicParagraph"/>
                      <w:jc w:val="right"/>
                      <w:rPr>
                        <w:rFonts w:ascii="DIN 2014 Light" w:hAnsi="DIN 2014 Light" w:cs="DIN"/>
                        <w:color w:val="1552A0"/>
                        <w:sz w:val="18"/>
                        <w:szCs w:val="18"/>
                      </w:rPr>
                    </w:pPr>
                    <w:r w:rsidRPr="001B6B76">
                      <w:rPr>
                        <w:rFonts w:ascii="DIN 2014 Light" w:hAnsi="DIN 2014 Light" w:cs="DIN"/>
                        <w:color w:val="1552A0"/>
                        <w:sz w:val="18"/>
                        <w:szCs w:val="18"/>
                      </w:rPr>
                      <w:t>Transparency Register</w:t>
                    </w:r>
                  </w:p>
                  <w:p w14:paraId="0E514829" w14:textId="77777777" w:rsidR="006A2694" w:rsidRPr="001B6B76" w:rsidRDefault="006A2694" w:rsidP="006A2694">
                    <w:pPr>
                      <w:pStyle w:val="BasicParagraph"/>
                      <w:jc w:val="right"/>
                      <w:rPr>
                        <w:rFonts w:ascii="DIN 2014 Light" w:hAnsi="DIN 2014 Light"/>
                        <w:color w:val="FFFFFF" w:themeColor="background1"/>
                        <w:sz w:val="18"/>
                        <w:szCs w:val="18"/>
                      </w:rPr>
                    </w:pPr>
                    <w:r w:rsidRPr="001B6B76">
                      <w:rPr>
                        <w:rFonts w:ascii="DIN 2014 Light" w:hAnsi="DIN 2014 Light" w:cs="DIN"/>
                        <w:color w:val="1552A0"/>
                        <w:sz w:val="18"/>
                        <w:szCs w:val="18"/>
                      </w:rPr>
                      <w:t>26207914726-42</w:t>
                    </w:r>
                  </w:p>
                  <w:p w14:paraId="5F4A17F9" w14:textId="77777777" w:rsidR="006A2694" w:rsidRPr="00C910A0" w:rsidRDefault="006A2694" w:rsidP="006A2694">
                    <w:pPr>
                      <w:ind w:right="-114"/>
                      <w:jc w:val="center"/>
                      <w:rPr>
                        <w:rFonts w:ascii="Calibri Light" w:hAnsi="Calibri Light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A2694">
      <w:rPr>
        <w:noProof/>
        <w:lang w:val="pt-PT" w:eastAsia="pt-PT"/>
      </w:rPr>
      <w:drawing>
        <wp:anchor distT="0" distB="0" distL="114300" distR="114300" simplePos="0" relativeHeight="251671552" behindDoc="0" locked="0" layoutInCell="1" allowOverlap="1" wp14:anchorId="00AD9612" wp14:editId="0F372C79">
          <wp:simplePos x="0" y="0"/>
          <wp:positionH relativeFrom="column">
            <wp:posOffset>4272915</wp:posOffset>
          </wp:positionH>
          <wp:positionV relativeFrom="page">
            <wp:posOffset>9878060</wp:posOffset>
          </wp:positionV>
          <wp:extent cx="223520" cy="223520"/>
          <wp:effectExtent l="0" t="0" r="0" b="0"/>
          <wp:wrapSquare wrapText="bothSides"/>
          <wp:docPr id="33" name="Picture 33" descr="\\EPVM03\FuelsEurope_Ext\Natalia Sainz\icons\75-Gray-Social-Media-Icons\PNGs - Copy\Facebook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EPVM03\FuelsEurope_Ext\Natalia Sainz\icons\75-Gray-Social-Media-Icons\PNGs - Copy\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694">
      <w:rPr>
        <w:noProof/>
        <w:lang w:val="pt-PT" w:eastAsia="pt-PT"/>
      </w:rPr>
      <w:drawing>
        <wp:anchor distT="0" distB="0" distL="114300" distR="114300" simplePos="0" relativeHeight="251670528" behindDoc="0" locked="0" layoutInCell="1" allowOverlap="1" wp14:anchorId="6A23DE1F" wp14:editId="11D40E59">
          <wp:simplePos x="0" y="0"/>
          <wp:positionH relativeFrom="column">
            <wp:posOffset>3949065</wp:posOffset>
          </wp:positionH>
          <wp:positionV relativeFrom="page">
            <wp:posOffset>9877425</wp:posOffset>
          </wp:positionV>
          <wp:extent cx="223520" cy="223520"/>
          <wp:effectExtent l="0" t="0" r="0" b="0"/>
          <wp:wrapSquare wrapText="bothSides"/>
          <wp:docPr id="34" name="Picture 34" descr="\\EPVM03\FuelsEurope_Ext\Natalia Sainz\icons\75-Gray-Social-Media-Icons\PNGs - Copy\YouTube Play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VM03\FuelsEurope_Ext\Natalia Sainz\icons\75-Gray-Social-Media-Icons\PNGs - Copy\YouTube Pla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694">
      <w:rPr>
        <w:noProof/>
        <w:lang w:val="pt-PT" w:eastAsia="pt-PT"/>
      </w:rPr>
      <w:drawing>
        <wp:anchor distT="0" distB="0" distL="114300" distR="114300" simplePos="0" relativeHeight="251669504" behindDoc="0" locked="0" layoutInCell="1" allowOverlap="1" wp14:anchorId="148EFB1C" wp14:editId="4CE53FF9">
          <wp:simplePos x="0" y="0"/>
          <wp:positionH relativeFrom="column">
            <wp:posOffset>3619500</wp:posOffset>
          </wp:positionH>
          <wp:positionV relativeFrom="page">
            <wp:posOffset>9877425</wp:posOffset>
          </wp:positionV>
          <wp:extent cx="223520" cy="223520"/>
          <wp:effectExtent l="0" t="0" r="0" b="0"/>
          <wp:wrapSquare wrapText="bothSides"/>
          <wp:docPr id="35" name="Picture 35" descr="\\EPVM03\FuelsEurope_Ext\Natalia Sainz\icons\75-Gray-Social-Media-Icons\PNGs - Copy\Linkedin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VM03\FuelsEurope_Ext\Natalia Sainz\icons\75-Gray-Social-Media-Icons\PNGs - Copy\Linkedin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694">
      <w:rPr>
        <w:noProof/>
        <w:lang w:val="pt-PT" w:eastAsia="pt-PT"/>
      </w:rPr>
      <w:drawing>
        <wp:anchor distT="0" distB="0" distL="114300" distR="114300" simplePos="0" relativeHeight="251668480" behindDoc="0" locked="0" layoutInCell="1" allowOverlap="1" wp14:anchorId="56815460" wp14:editId="334DDB5D">
          <wp:simplePos x="0" y="0"/>
          <wp:positionH relativeFrom="column">
            <wp:posOffset>3283585</wp:posOffset>
          </wp:positionH>
          <wp:positionV relativeFrom="page">
            <wp:posOffset>9882505</wp:posOffset>
          </wp:positionV>
          <wp:extent cx="223520" cy="223520"/>
          <wp:effectExtent l="0" t="0" r="0" b="0"/>
          <wp:wrapSquare wrapText="bothSides"/>
          <wp:docPr id="36" name="Picture 36" descr="\\EPVM03\FuelsEurope_Ext\Natalia Sainz\icons\75-Gray-Social-Media-Icons\PNGs - Copy\Twitter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PVM03\FuelsEurope_Ext\Natalia Sainz\icons\75-Gray-Social-Media-Icons\PNGs - Copy\Twitter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2F15AD" wp14:editId="375A06A7">
              <wp:simplePos x="0" y="0"/>
              <wp:positionH relativeFrom="margin">
                <wp:posOffset>1572260</wp:posOffset>
              </wp:positionH>
              <wp:positionV relativeFrom="paragraph">
                <wp:posOffset>-773430</wp:posOffset>
              </wp:positionV>
              <wp:extent cx="1600200" cy="6229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D12C6" w14:textId="77777777" w:rsidR="006A2694" w:rsidRPr="001B6B76" w:rsidRDefault="00405745" w:rsidP="006A2694">
                          <w:pPr>
                            <w:pStyle w:val="BasicParagraph"/>
                            <w:rPr>
                              <w:rFonts w:ascii="DIN 2014 Light" w:hAnsi="DIN 2014 Light" w:cs="DIN"/>
                              <w:color w:val="69B3E7"/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6A2694" w:rsidRPr="001B6B76">
                              <w:rPr>
                                <w:rStyle w:val="Hyperlink"/>
                                <w:rFonts w:ascii="DIN 2014 Light" w:hAnsi="DIN 2014 Light" w:cs="DIN"/>
                                <w:color w:val="69B3E7"/>
                                <w:sz w:val="18"/>
                                <w:szCs w:val="18"/>
                                <w:u w:val="none"/>
                              </w:rPr>
                              <w:t>info@fuelseurope.eu</w:t>
                            </w:r>
                          </w:hyperlink>
                        </w:p>
                        <w:p w14:paraId="64B601AE" w14:textId="77777777" w:rsidR="006A2694" w:rsidRPr="001B6B76" w:rsidRDefault="00405745" w:rsidP="006A2694">
                          <w:pPr>
                            <w:pStyle w:val="BasicParagraph"/>
                            <w:rPr>
                              <w:rFonts w:ascii="DIN 2014 Light" w:hAnsi="DIN 2014 Light" w:cs="DIN"/>
                              <w:color w:val="69B3E7"/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6A2694" w:rsidRPr="001B6B76">
                              <w:rPr>
                                <w:rStyle w:val="Hyperlink"/>
                                <w:rFonts w:ascii="DIN 2014 Light" w:hAnsi="DIN 2014 Light" w:cs="DIN"/>
                                <w:color w:val="69B3E7"/>
                                <w:sz w:val="18"/>
                                <w:szCs w:val="18"/>
                                <w:u w:val="none"/>
                              </w:rPr>
                              <w:t>www.fuelseurope.eu</w:t>
                            </w:r>
                          </w:hyperlink>
                          <w:r w:rsidR="006A2694" w:rsidRPr="001B6B76">
                            <w:rPr>
                              <w:rFonts w:ascii="DIN 2014 Light" w:hAnsi="DIN 2014 Light" w:cs="DIN"/>
                              <w:color w:val="69B3E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56B628D" w14:textId="77777777" w:rsidR="006A2694" w:rsidRPr="00D503DB" w:rsidRDefault="006A2694" w:rsidP="006A2694">
                          <w:pPr>
                            <w:ind w:right="-114"/>
                            <w:rPr>
                              <w:rFonts w:ascii="DIN" w:hAnsi="DI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73B09C1A" w14:textId="77777777" w:rsidR="006A2694" w:rsidRPr="000312A7" w:rsidRDefault="006A2694" w:rsidP="006A2694">
                          <w:pPr>
                            <w:ind w:right="-114"/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360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F15AD" id="Text Box 16" o:spid="_x0000_s1031" type="#_x0000_t202" style="position:absolute;margin-left:123.8pt;margin-top:-60.9pt;width:126pt;height:49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" filled="f" stroked="f">
              <v:textbox inset=",7.2pt,10mm,7.2pt">
                <w:txbxContent>
                  <w:p w14:paraId="22AD12C6" w14:textId="77777777" w:rsidR="006A2694" w:rsidRPr="001B6B76" w:rsidRDefault="00405745" w:rsidP="006A2694">
                    <w:pPr>
                      <w:pStyle w:val="BasicParagraph"/>
                      <w:rPr>
                        <w:rFonts w:ascii="DIN 2014 Light" w:hAnsi="DIN 2014 Light" w:cs="DIN"/>
                        <w:color w:val="69B3E7"/>
                        <w:sz w:val="18"/>
                        <w:szCs w:val="18"/>
                      </w:rPr>
                    </w:pPr>
                    <w:hyperlink r:id="rId11" w:history="1">
                      <w:r w:rsidR="006A2694" w:rsidRPr="001B6B76">
                        <w:rPr>
                          <w:rStyle w:val="Hyperlink"/>
                          <w:rFonts w:ascii="DIN 2014 Light" w:hAnsi="DIN 2014 Light" w:cs="DIN"/>
                          <w:color w:val="69B3E7"/>
                          <w:sz w:val="18"/>
                          <w:szCs w:val="18"/>
                          <w:u w:val="none"/>
                        </w:rPr>
                        <w:t>info@fuelseurope.eu</w:t>
                      </w:r>
                    </w:hyperlink>
                  </w:p>
                  <w:p w14:paraId="64B601AE" w14:textId="77777777" w:rsidR="006A2694" w:rsidRPr="001B6B76" w:rsidRDefault="00405745" w:rsidP="006A2694">
                    <w:pPr>
                      <w:pStyle w:val="BasicParagraph"/>
                      <w:rPr>
                        <w:rFonts w:ascii="DIN 2014 Light" w:hAnsi="DIN 2014 Light" w:cs="DIN"/>
                        <w:color w:val="69B3E7"/>
                        <w:sz w:val="18"/>
                        <w:szCs w:val="18"/>
                      </w:rPr>
                    </w:pPr>
                    <w:hyperlink r:id="rId12" w:history="1">
                      <w:r w:rsidR="006A2694" w:rsidRPr="001B6B76">
                        <w:rPr>
                          <w:rStyle w:val="Hyperlink"/>
                          <w:rFonts w:ascii="DIN 2014 Light" w:hAnsi="DIN 2014 Light" w:cs="DIN"/>
                          <w:color w:val="69B3E7"/>
                          <w:sz w:val="18"/>
                          <w:szCs w:val="18"/>
                          <w:u w:val="none"/>
                        </w:rPr>
                        <w:t>www.fuelseurope.eu</w:t>
                      </w:r>
                    </w:hyperlink>
                    <w:r w:rsidR="006A2694" w:rsidRPr="001B6B76">
                      <w:rPr>
                        <w:rFonts w:ascii="DIN 2014 Light" w:hAnsi="DIN 2014 Light" w:cs="DIN"/>
                        <w:color w:val="69B3E7"/>
                        <w:sz w:val="18"/>
                        <w:szCs w:val="18"/>
                      </w:rPr>
                      <w:t xml:space="preserve"> </w:t>
                    </w:r>
                  </w:p>
                  <w:p w14:paraId="356B628D" w14:textId="77777777" w:rsidR="006A2694" w:rsidRPr="00D503DB" w:rsidRDefault="006A2694" w:rsidP="006A2694">
                    <w:pPr>
                      <w:ind w:right="-114"/>
                      <w:rPr>
                        <w:rFonts w:ascii="DIN" w:hAnsi="DIN"/>
                        <w:color w:val="FFFFFF" w:themeColor="background1"/>
                        <w:sz w:val="18"/>
                        <w:szCs w:val="18"/>
                      </w:rPr>
                    </w:pPr>
                  </w:p>
                  <w:p w14:paraId="73B09C1A" w14:textId="77777777" w:rsidR="006A2694" w:rsidRPr="000312A7" w:rsidRDefault="006A2694" w:rsidP="006A2694">
                    <w:pPr>
                      <w:ind w:right="-114"/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E231C9" wp14:editId="3CFD870F">
              <wp:simplePos x="0" y="0"/>
              <wp:positionH relativeFrom="margin">
                <wp:posOffset>-92075</wp:posOffset>
              </wp:positionH>
              <wp:positionV relativeFrom="paragraph">
                <wp:posOffset>-777875</wp:posOffset>
              </wp:positionV>
              <wp:extent cx="1689735" cy="6229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73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750A0F" w14:textId="77777777" w:rsidR="006A2694" w:rsidRPr="001B6B76" w:rsidRDefault="006A2694" w:rsidP="006A2694">
                          <w:pPr>
                            <w:ind w:right="-114"/>
                            <w:rPr>
                              <w:rFonts w:ascii="DIN 2014 Light" w:hAnsi="DIN 2014 Light"/>
                              <w:color w:val="1552A0"/>
                              <w:sz w:val="18"/>
                              <w:szCs w:val="18"/>
                              <w:lang w:val="fr-BE"/>
                            </w:rPr>
                          </w:pPr>
                          <w:r w:rsidRPr="001B6B76">
                            <w:rPr>
                              <w:rFonts w:ascii="DIN 2014 Light" w:hAnsi="DIN 2014 Light"/>
                              <w:color w:val="1552A0"/>
                              <w:sz w:val="18"/>
                              <w:szCs w:val="18"/>
                              <w:lang w:val="fr-BE"/>
                            </w:rPr>
                            <w:t>Bd. du Souverain 165</w:t>
                          </w:r>
                        </w:p>
                        <w:p w14:paraId="5F0F899C" w14:textId="77777777" w:rsidR="006A2694" w:rsidRPr="001B6B76" w:rsidRDefault="006A2694" w:rsidP="006A2694">
                          <w:pPr>
                            <w:ind w:right="-114"/>
                            <w:rPr>
                              <w:rFonts w:ascii="DIN 2014 Light" w:hAnsi="DIN 2014 Light"/>
                              <w:color w:val="1552A0"/>
                              <w:sz w:val="18"/>
                              <w:szCs w:val="18"/>
                              <w:lang w:val="fr-BE"/>
                            </w:rPr>
                          </w:pPr>
                          <w:r w:rsidRPr="001B6B76">
                            <w:rPr>
                              <w:rFonts w:ascii="DIN 2014 Light" w:hAnsi="DIN 2014 Light"/>
                              <w:color w:val="1552A0"/>
                              <w:sz w:val="18"/>
                              <w:szCs w:val="18"/>
                              <w:lang w:val="fr-BE"/>
                            </w:rPr>
                            <w:t>1160, Brussels</w:t>
                          </w:r>
                          <w:r w:rsidRPr="001B6B76">
                            <w:rPr>
                              <w:rFonts w:ascii="DIN 2014 Light" w:hAnsi="DIN 2014 Light"/>
                              <w:color w:val="69B3E7"/>
                              <w:sz w:val="18"/>
                              <w:szCs w:val="18"/>
                              <w:lang w:val="fr-BE"/>
                            </w:rPr>
                            <w:t xml:space="preserve"> | </w:t>
                          </w:r>
                          <w:r w:rsidRPr="001B6B76">
                            <w:rPr>
                              <w:rFonts w:ascii="DIN 2014 Light" w:hAnsi="DIN 2014 Light"/>
                              <w:color w:val="1552A0"/>
                              <w:sz w:val="18"/>
                              <w:szCs w:val="18"/>
                              <w:lang w:val="fr-BE"/>
                            </w:rPr>
                            <w:t>Belgium</w:t>
                          </w:r>
                        </w:p>
                        <w:p w14:paraId="721F0D4C" w14:textId="77777777" w:rsidR="006A2694" w:rsidRPr="001B6B76" w:rsidRDefault="006A2694" w:rsidP="006A2694">
                          <w:pPr>
                            <w:pStyle w:val="BasicParagraph"/>
                            <w:rPr>
                              <w:rFonts w:ascii="DIN 2014 Light" w:hAnsi="DIN 2014 Light" w:cs="DIN"/>
                              <w:color w:val="1552A0"/>
                              <w:sz w:val="18"/>
                              <w:szCs w:val="18"/>
                              <w:lang w:val="fr-BE"/>
                            </w:rPr>
                          </w:pPr>
                          <w:r w:rsidRPr="001B6B76">
                            <w:rPr>
                              <w:rFonts w:ascii="DIN 2014 Light" w:hAnsi="DIN 2014 Light" w:cs="DIN"/>
                              <w:color w:val="1552A0"/>
                              <w:sz w:val="18"/>
                              <w:szCs w:val="18"/>
                              <w:lang w:val="fr-BE"/>
                            </w:rPr>
                            <w:t xml:space="preserve">T +32 (0)2 566 91 00 </w:t>
                          </w:r>
                        </w:p>
                        <w:p w14:paraId="2C4E1578" w14:textId="77777777" w:rsidR="006A2694" w:rsidRPr="006B206D" w:rsidRDefault="006A2694" w:rsidP="006A2694">
                          <w:pPr>
                            <w:ind w:right="-114"/>
                            <w:rPr>
                              <w:rFonts w:ascii="DIN 2014" w:hAnsi="DIN 2014"/>
                              <w:color w:val="FFFFFF" w:themeColor="background1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14:paraId="4A9A75FC" w14:textId="77777777" w:rsidR="006A2694" w:rsidRPr="009815C1" w:rsidRDefault="006A2694" w:rsidP="006A2694">
                          <w:pPr>
                            <w:ind w:right="-114"/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91440" rIns="360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231C9" id="Text Box 15" o:spid="_x0000_s1032" type="#_x0000_t202" style="position:absolute;margin-left:-7.25pt;margin-top:-61.25pt;width:133.05pt;height:49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" filled="f" stroked="f">
              <v:textbox inset=",7.2pt,10mm,7.2pt">
                <w:txbxContent>
                  <w:p w14:paraId="02750A0F" w14:textId="77777777" w:rsidR="006A2694" w:rsidRPr="001B6B76" w:rsidRDefault="006A2694" w:rsidP="006A2694">
                    <w:pPr>
                      <w:ind w:right="-114"/>
                      <w:rPr>
                        <w:rFonts w:ascii="DIN 2014 Light" w:hAnsi="DIN 2014 Light"/>
                        <w:color w:val="1552A0"/>
                        <w:sz w:val="18"/>
                        <w:szCs w:val="18"/>
                        <w:lang w:val="fr-BE"/>
                      </w:rPr>
                    </w:pPr>
                    <w:r w:rsidRPr="001B6B76">
                      <w:rPr>
                        <w:rFonts w:ascii="DIN 2014 Light" w:hAnsi="DIN 2014 Light"/>
                        <w:color w:val="1552A0"/>
                        <w:sz w:val="18"/>
                        <w:szCs w:val="18"/>
                        <w:lang w:val="fr-BE"/>
                      </w:rPr>
                      <w:t>Bd. du Souverain 165</w:t>
                    </w:r>
                  </w:p>
                  <w:p w14:paraId="5F0F899C" w14:textId="77777777" w:rsidR="006A2694" w:rsidRPr="001B6B76" w:rsidRDefault="006A2694" w:rsidP="006A2694">
                    <w:pPr>
                      <w:ind w:right="-114"/>
                      <w:rPr>
                        <w:rFonts w:ascii="DIN 2014 Light" w:hAnsi="DIN 2014 Light"/>
                        <w:color w:val="1552A0"/>
                        <w:sz w:val="18"/>
                        <w:szCs w:val="18"/>
                        <w:lang w:val="fr-BE"/>
                      </w:rPr>
                    </w:pPr>
                    <w:r w:rsidRPr="001B6B76">
                      <w:rPr>
                        <w:rFonts w:ascii="DIN 2014 Light" w:hAnsi="DIN 2014 Light"/>
                        <w:color w:val="1552A0"/>
                        <w:sz w:val="18"/>
                        <w:szCs w:val="18"/>
                        <w:lang w:val="fr-BE"/>
                      </w:rPr>
                      <w:t>1160, Brussels</w:t>
                    </w:r>
                    <w:r w:rsidRPr="001B6B76">
                      <w:rPr>
                        <w:rFonts w:ascii="DIN 2014 Light" w:hAnsi="DIN 2014 Light"/>
                        <w:color w:val="69B3E7"/>
                        <w:sz w:val="18"/>
                        <w:szCs w:val="18"/>
                        <w:lang w:val="fr-BE"/>
                      </w:rPr>
                      <w:t xml:space="preserve"> | </w:t>
                    </w:r>
                    <w:r w:rsidRPr="001B6B76">
                      <w:rPr>
                        <w:rFonts w:ascii="DIN 2014 Light" w:hAnsi="DIN 2014 Light"/>
                        <w:color w:val="1552A0"/>
                        <w:sz w:val="18"/>
                        <w:szCs w:val="18"/>
                        <w:lang w:val="fr-BE"/>
                      </w:rPr>
                      <w:t>Belgium</w:t>
                    </w:r>
                  </w:p>
                  <w:p w14:paraId="721F0D4C" w14:textId="77777777" w:rsidR="006A2694" w:rsidRPr="001B6B76" w:rsidRDefault="006A2694" w:rsidP="006A2694">
                    <w:pPr>
                      <w:pStyle w:val="BasicParagraph"/>
                      <w:rPr>
                        <w:rFonts w:ascii="DIN 2014 Light" w:hAnsi="DIN 2014 Light" w:cs="DIN"/>
                        <w:color w:val="1552A0"/>
                        <w:sz w:val="18"/>
                        <w:szCs w:val="18"/>
                        <w:lang w:val="fr-BE"/>
                      </w:rPr>
                    </w:pPr>
                    <w:r w:rsidRPr="001B6B76">
                      <w:rPr>
                        <w:rFonts w:ascii="DIN 2014 Light" w:hAnsi="DIN 2014 Light" w:cs="DIN"/>
                        <w:color w:val="1552A0"/>
                        <w:sz w:val="18"/>
                        <w:szCs w:val="18"/>
                        <w:lang w:val="fr-BE"/>
                      </w:rPr>
                      <w:t xml:space="preserve">T +32 (0)2 566 91 00 </w:t>
                    </w:r>
                  </w:p>
                  <w:p w14:paraId="2C4E1578" w14:textId="77777777" w:rsidR="006A2694" w:rsidRPr="006B206D" w:rsidRDefault="006A2694" w:rsidP="006A2694">
                    <w:pPr>
                      <w:ind w:right="-114"/>
                      <w:rPr>
                        <w:rFonts w:ascii="DIN 2014" w:hAnsi="DIN 2014"/>
                        <w:color w:val="FFFFFF" w:themeColor="background1"/>
                        <w:sz w:val="18"/>
                        <w:szCs w:val="18"/>
                        <w:lang w:val="fr-BE"/>
                      </w:rPr>
                    </w:pPr>
                  </w:p>
                  <w:p w14:paraId="4A9A75FC" w14:textId="77777777" w:rsidR="006A2694" w:rsidRPr="009815C1" w:rsidRDefault="006A2694" w:rsidP="006A2694">
                    <w:pPr>
                      <w:ind w:right="-114"/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F6E63B" wp14:editId="7055654F">
              <wp:simplePos x="0" y="0"/>
              <wp:positionH relativeFrom="margin">
                <wp:posOffset>-5080</wp:posOffset>
              </wp:positionH>
              <wp:positionV relativeFrom="paragraph">
                <wp:posOffset>-779780</wp:posOffset>
              </wp:positionV>
              <wp:extent cx="6104890" cy="4445"/>
              <wp:effectExtent l="0" t="0" r="10160" b="1460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4890" cy="4445"/>
                      </a:xfrm>
                      <a:prstGeom prst="line">
                        <a:avLst/>
                      </a:prstGeom>
                      <a:ln w="9525">
                        <a:solidFill>
                          <a:srgbClr val="69B3E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8BD9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4pt,-61.4pt" to="480.3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" strokecolor="#69b3e7"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C719" w14:textId="77777777" w:rsidR="003B0D6B" w:rsidRDefault="003B0D6B" w:rsidP="002872C2">
      <w:r>
        <w:separator/>
      </w:r>
    </w:p>
  </w:footnote>
  <w:footnote w:type="continuationSeparator" w:id="0">
    <w:p w14:paraId="6CF3EF21" w14:textId="77777777" w:rsidR="003B0D6B" w:rsidRDefault="003B0D6B" w:rsidP="0028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CB55" w14:textId="4D49DD04" w:rsidR="008D46B6" w:rsidRDefault="00CE48B6" w:rsidP="0044673B">
    <w:pPr>
      <w:pStyle w:val="Header"/>
      <w:tabs>
        <w:tab w:val="clear" w:pos="9072"/>
        <w:tab w:val="right" w:pos="10490"/>
      </w:tabs>
      <w:ind w:left="-1134" w:right="-141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88CD5" wp14:editId="6E16150E">
              <wp:simplePos x="0" y="0"/>
              <wp:positionH relativeFrom="column">
                <wp:posOffset>3295650</wp:posOffset>
              </wp:positionH>
              <wp:positionV relativeFrom="paragraph">
                <wp:posOffset>594360</wp:posOffset>
              </wp:positionV>
              <wp:extent cx="3048000" cy="360045"/>
              <wp:effectExtent l="0" t="0" r="0" b="1905"/>
              <wp:wrapNone/>
              <wp:docPr id="9384523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0" cy="360045"/>
                      </a:xfrm>
                      <a:prstGeom prst="rect">
                        <a:avLst/>
                      </a:prstGeom>
                      <a:solidFill>
                        <a:srgbClr val="1652A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3255ED" w14:textId="50B041E5" w:rsidR="008B444F" w:rsidRPr="008B444F" w:rsidRDefault="008B444F" w:rsidP="008B444F">
                          <w:pPr>
                            <w:ind w:right="-114"/>
                            <w:jc w:val="center"/>
                            <w:rPr>
                              <w:rFonts w:ascii="DIN 2014 Bold" w:hAnsi="DIN 2014 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nl-NL"/>
                            </w:rPr>
                          </w:pPr>
                          <w:r w:rsidRPr="008B444F">
                            <w:rPr>
                              <w:rFonts w:ascii="DIN 2014 Bold" w:hAnsi="DIN 2014 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nl-NL"/>
                            </w:rPr>
                            <w:t>STATEMENT</w:t>
                          </w:r>
                        </w:p>
                      </w:txbxContent>
                    </wps:txbx>
                    <wps:bodyPr rot="0" vert="horz" wrap="square" lIns="91440" tIns="91440" rIns="360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88C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259.5pt;margin-top:46.8pt;width:240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" fillcolor="#1652a1" stroked="f">
              <v:textbox inset=",7.2pt,10mm,7.2pt">
                <w:txbxContent>
                  <w:p w14:paraId="6E3255ED" w14:textId="50B041E5" w:rsidR="008B444F" w:rsidRPr="008B444F" w:rsidRDefault="008B444F" w:rsidP="008B444F">
                    <w:pPr>
                      <w:ind w:right="-114"/>
                      <w:jc w:val="center"/>
                      <w:rPr>
                        <w:rFonts w:ascii="DIN 2014 Bold" w:hAnsi="DIN 2014 Bold"/>
                        <w:b/>
                        <w:bCs/>
                        <w:color w:val="FFFFFF" w:themeColor="background1"/>
                        <w:sz w:val="18"/>
                        <w:szCs w:val="18"/>
                        <w:lang w:val="nl-NL"/>
                      </w:rPr>
                    </w:pPr>
                    <w:r w:rsidRPr="008B444F">
                      <w:rPr>
                        <w:rFonts w:ascii="DIN 2014 Bold" w:hAnsi="DIN 2014 Bold"/>
                        <w:b/>
                        <w:bCs/>
                        <w:color w:val="FFFFFF" w:themeColor="background1"/>
                        <w:sz w:val="18"/>
                        <w:szCs w:val="18"/>
                        <w:lang w:val="nl-NL"/>
                      </w:rPr>
                      <w:t>STATEMENT</w:t>
                    </w:r>
                  </w:p>
                </w:txbxContent>
              </v:textbox>
            </v:shape>
          </w:pict>
        </mc:Fallback>
      </mc:AlternateContent>
    </w:r>
    <w:r w:rsidR="00596B66">
      <w:rPr>
        <w:noProof/>
      </w:rPr>
      <w:drawing>
        <wp:anchor distT="0" distB="0" distL="114300" distR="114300" simplePos="0" relativeHeight="251660288" behindDoc="0" locked="0" layoutInCell="1" allowOverlap="1" wp14:anchorId="3D8A01AC" wp14:editId="331E0D48">
          <wp:simplePos x="0" y="0"/>
          <wp:positionH relativeFrom="column">
            <wp:posOffset>-266065</wp:posOffset>
          </wp:positionH>
          <wp:positionV relativeFrom="paragraph">
            <wp:posOffset>371475</wp:posOffset>
          </wp:positionV>
          <wp:extent cx="1907540" cy="459740"/>
          <wp:effectExtent l="0" t="0" r="0" b="0"/>
          <wp:wrapSquare wrapText="bothSides"/>
          <wp:docPr id="3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039632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5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E06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48B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440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505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642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6AF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F48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962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7E24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D61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6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C2"/>
    <w:rsid w:val="00027823"/>
    <w:rsid w:val="000312A7"/>
    <w:rsid w:val="00043C6C"/>
    <w:rsid w:val="00050A13"/>
    <w:rsid w:val="00064D75"/>
    <w:rsid w:val="00066C40"/>
    <w:rsid w:val="00071D13"/>
    <w:rsid w:val="000965B3"/>
    <w:rsid w:val="000F32CA"/>
    <w:rsid w:val="00150BCB"/>
    <w:rsid w:val="001876CA"/>
    <w:rsid w:val="001A0F43"/>
    <w:rsid w:val="001A7B06"/>
    <w:rsid w:val="001B6B76"/>
    <w:rsid w:val="001B7F05"/>
    <w:rsid w:val="0021190A"/>
    <w:rsid w:val="00224689"/>
    <w:rsid w:val="002638C1"/>
    <w:rsid w:val="002872C2"/>
    <w:rsid w:val="002B0B1E"/>
    <w:rsid w:val="002B51B6"/>
    <w:rsid w:val="002D4DD4"/>
    <w:rsid w:val="002E51FE"/>
    <w:rsid w:val="00303710"/>
    <w:rsid w:val="00323620"/>
    <w:rsid w:val="00351784"/>
    <w:rsid w:val="00361177"/>
    <w:rsid w:val="003B0D6B"/>
    <w:rsid w:val="003C5EDF"/>
    <w:rsid w:val="003C7FA4"/>
    <w:rsid w:val="003E314F"/>
    <w:rsid w:val="00405445"/>
    <w:rsid w:val="00405745"/>
    <w:rsid w:val="00412CD7"/>
    <w:rsid w:val="00434419"/>
    <w:rsid w:val="00435C06"/>
    <w:rsid w:val="0044673B"/>
    <w:rsid w:val="0045438A"/>
    <w:rsid w:val="00454C63"/>
    <w:rsid w:val="00473498"/>
    <w:rsid w:val="0048270C"/>
    <w:rsid w:val="0048654E"/>
    <w:rsid w:val="00492ABB"/>
    <w:rsid w:val="00493DCD"/>
    <w:rsid w:val="004A4423"/>
    <w:rsid w:val="00551A95"/>
    <w:rsid w:val="00555158"/>
    <w:rsid w:val="00584D1E"/>
    <w:rsid w:val="00587551"/>
    <w:rsid w:val="00596B66"/>
    <w:rsid w:val="005B7AD2"/>
    <w:rsid w:val="005F645D"/>
    <w:rsid w:val="006066FD"/>
    <w:rsid w:val="00616244"/>
    <w:rsid w:val="00617784"/>
    <w:rsid w:val="00637DB8"/>
    <w:rsid w:val="00653597"/>
    <w:rsid w:val="00653F49"/>
    <w:rsid w:val="006541DD"/>
    <w:rsid w:val="006703E7"/>
    <w:rsid w:val="00673737"/>
    <w:rsid w:val="00675C14"/>
    <w:rsid w:val="00683A1D"/>
    <w:rsid w:val="00683B5F"/>
    <w:rsid w:val="00684FFA"/>
    <w:rsid w:val="006A2694"/>
    <w:rsid w:val="006B206D"/>
    <w:rsid w:val="006F1406"/>
    <w:rsid w:val="00726DE1"/>
    <w:rsid w:val="00733BB3"/>
    <w:rsid w:val="00746FB2"/>
    <w:rsid w:val="007910C9"/>
    <w:rsid w:val="007A78A4"/>
    <w:rsid w:val="007B0DEA"/>
    <w:rsid w:val="007C5052"/>
    <w:rsid w:val="007E4757"/>
    <w:rsid w:val="007F521B"/>
    <w:rsid w:val="00825FAD"/>
    <w:rsid w:val="00840A3C"/>
    <w:rsid w:val="00853A6D"/>
    <w:rsid w:val="00896FED"/>
    <w:rsid w:val="008A46E4"/>
    <w:rsid w:val="008B444F"/>
    <w:rsid w:val="008D46B6"/>
    <w:rsid w:val="008E5DBD"/>
    <w:rsid w:val="00923879"/>
    <w:rsid w:val="009652EB"/>
    <w:rsid w:val="00A03035"/>
    <w:rsid w:val="00A147C7"/>
    <w:rsid w:val="00A465D4"/>
    <w:rsid w:val="00A70750"/>
    <w:rsid w:val="00AA2963"/>
    <w:rsid w:val="00B424EA"/>
    <w:rsid w:val="00B63612"/>
    <w:rsid w:val="00B64AEE"/>
    <w:rsid w:val="00B6553E"/>
    <w:rsid w:val="00BA09C9"/>
    <w:rsid w:val="00BC4F17"/>
    <w:rsid w:val="00C0370B"/>
    <w:rsid w:val="00C773E7"/>
    <w:rsid w:val="00C77C0C"/>
    <w:rsid w:val="00CE48B6"/>
    <w:rsid w:val="00D0309D"/>
    <w:rsid w:val="00D20419"/>
    <w:rsid w:val="00D464F9"/>
    <w:rsid w:val="00D551F6"/>
    <w:rsid w:val="00D603CF"/>
    <w:rsid w:val="00D64232"/>
    <w:rsid w:val="00D675F5"/>
    <w:rsid w:val="00D90A6F"/>
    <w:rsid w:val="00DC29D9"/>
    <w:rsid w:val="00DD0723"/>
    <w:rsid w:val="00E1591F"/>
    <w:rsid w:val="00E26B0C"/>
    <w:rsid w:val="00E56FD3"/>
    <w:rsid w:val="00E62448"/>
    <w:rsid w:val="00EA4453"/>
    <w:rsid w:val="00ED70E0"/>
    <w:rsid w:val="00F27572"/>
    <w:rsid w:val="00FB22F4"/>
    <w:rsid w:val="00FB7865"/>
    <w:rsid w:val="00FE4E1D"/>
    <w:rsid w:val="00FF2ACC"/>
    <w:rsid w:val="00FF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13EA7D"/>
  <w15:docId w15:val="{B19CB8D7-38E3-ED42-93E4-45CBF5F1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C2"/>
  </w:style>
  <w:style w:type="paragraph" w:styleId="Footer">
    <w:name w:val="footer"/>
    <w:basedOn w:val="Normal"/>
    <w:link w:val="FooterChar"/>
    <w:uiPriority w:val="99"/>
    <w:unhideWhenUsed/>
    <w:rsid w:val="002872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C2"/>
  </w:style>
  <w:style w:type="paragraph" w:styleId="BalloonText">
    <w:name w:val="Balloon Text"/>
    <w:basedOn w:val="Normal"/>
    <w:link w:val="BalloonTextChar"/>
    <w:uiPriority w:val="99"/>
    <w:semiHidden/>
    <w:unhideWhenUsed/>
    <w:rsid w:val="00287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C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50A13"/>
  </w:style>
  <w:style w:type="paragraph" w:customStyle="1" w:styleId="FEHeadertitle">
    <w:name w:val="FE_Header_title"/>
    <w:basedOn w:val="Normal"/>
    <w:qFormat/>
    <w:rsid w:val="008D46B6"/>
    <w:pPr>
      <w:widowControl w:val="0"/>
      <w:autoSpaceDE w:val="0"/>
      <w:autoSpaceDN w:val="0"/>
      <w:adjustRightInd w:val="0"/>
    </w:pPr>
    <w:rPr>
      <w:rFonts w:ascii="Calibri" w:hAnsi="Calibri" w:cs="Times New Roman"/>
      <w:b/>
      <w:color w:val="FFFFFF"/>
      <w:lang w:val="fr-FR"/>
    </w:rPr>
  </w:style>
  <w:style w:type="paragraph" w:customStyle="1" w:styleId="FESubtitle">
    <w:name w:val="FE_Subtitle"/>
    <w:basedOn w:val="Normal"/>
    <w:qFormat/>
    <w:rsid w:val="008D46B6"/>
    <w:pPr>
      <w:widowControl w:val="0"/>
      <w:autoSpaceDE w:val="0"/>
      <w:autoSpaceDN w:val="0"/>
      <w:adjustRightInd w:val="0"/>
    </w:pPr>
    <w:rPr>
      <w:rFonts w:ascii="Calibri" w:hAnsi="Calibri" w:cs="Times New Roman"/>
      <w:b/>
      <w:color w:val="2C5697"/>
      <w:sz w:val="20"/>
      <w:szCs w:val="20"/>
      <w:lang w:val="fr-FR"/>
    </w:rPr>
  </w:style>
  <w:style w:type="paragraph" w:customStyle="1" w:styleId="FEBody">
    <w:name w:val="FE_Body"/>
    <w:basedOn w:val="Normal"/>
    <w:qFormat/>
    <w:rsid w:val="008D46B6"/>
    <w:pPr>
      <w:widowControl w:val="0"/>
      <w:autoSpaceDE w:val="0"/>
      <w:autoSpaceDN w:val="0"/>
      <w:adjustRightInd w:val="0"/>
      <w:jc w:val="both"/>
    </w:pPr>
    <w:rPr>
      <w:rFonts w:ascii="Calibri" w:hAnsi="Calibri" w:cs="Times New Roman"/>
      <w:color w:val="000000" w:themeColor="text1"/>
      <w:sz w:val="16"/>
      <w:szCs w:val="18"/>
      <w:lang w:val="fr-FR"/>
    </w:rPr>
  </w:style>
  <w:style w:type="paragraph" w:customStyle="1" w:styleId="FEFootnote">
    <w:name w:val="FE_Footnote"/>
    <w:basedOn w:val="Normal"/>
    <w:qFormat/>
    <w:rsid w:val="008D46B6"/>
    <w:pPr>
      <w:widowControl w:val="0"/>
      <w:autoSpaceDE w:val="0"/>
      <w:autoSpaceDN w:val="0"/>
      <w:adjustRightInd w:val="0"/>
    </w:pPr>
    <w:rPr>
      <w:rFonts w:ascii="Calibri" w:hAnsi="Calibri" w:cs="Times New Roman"/>
      <w:color w:val="808080" w:themeColor="background1" w:themeShade="80"/>
      <w:sz w:val="16"/>
      <w:szCs w:val="19"/>
      <w:vertAlign w:val="superscript"/>
      <w:lang w:val="fr-FR"/>
    </w:rPr>
  </w:style>
  <w:style w:type="paragraph" w:customStyle="1" w:styleId="FEDisclaimer">
    <w:name w:val="FE_Disclaimer"/>
    <w:basedOn w:val="Normal"/>
    <w:qFormat/>
    <w:rsid w:val="001B7F05"/>
    <w:pPr>
      <w:widowControl w:val="0"/>
      <w:autoSpaceDE w:val="0"/>
      <w:autoSpaceDN w:val="0"/>
      <w:adjustRightInd w:val="0"/>
    </w:pPr>
    <w:rPr>
      <w:rFonts w:ascii="Calibri" w:hAnsi="Calibri" w:cs="Times New Roman"/>
      <w:color w:val="FFFFFF" w:themeColor="background1"/>
      <w:sz w:val="16"/>
      <w:szCs w:val="14"/>
      <w:lang w:val="fr-FR"/>
    </w:rPr>
  </w:style>
  <w:style w:type="paragraph" w:customStyle="1" w:styleId="BasicParagraph">
    <w:name w:val="[Basic Paragraph]"/>
    <w:basedOn w:val="Normal"/>
    <w:uiPriority w:val="99"/>
    <w:rsid w:val="006A26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rsid w:val="006A2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B2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youtube.com/user/FuelsEurope" TargetMode="External"/><Relationship Id="rId7" Type="http://schemas.openxmlformats.org/officeDocument/2006/relationships/hyperlink" Target="https://twitter.com/FuelsEurope" TargetMode="External"/><Relationship Id="rId12" Type="http://schemas.openxmlformats.org/officeDocument/2006/relationships/hyperlink" Target="http://www.fuelseurope.e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FuelsEurope-301354566692624/" TargetMode="External"/><Relationship Id="rId6" Type="http://schemas.openxmlformats.org/officeDocument/2006/relationships/image" Target="media/image4.png"/><Relationship Id="rId11" Type="http://schemas.openxmlformats.org/officeDocument/2006/relationships/hyperlink" Target="mailto:info@fuelseurope.eu" TargetMode="External"/><Relationship Id="rId5" Type="http://schemas.openxmlformats.org/officeDocument/2006/relationships/hyperlink" Target="https://www.linkedin.com/company/fuelseurope/" TargetMode="External"/><Relationship Id="rId10" Type="http://schemas.openxmlformats.org/officeDocument/2006/relationships/hyperlink" Target="http://www.fuelseurope.eu" TargetMode="External"/><Relationship Id="rId4" Type="http://schemas.openxmlformats.org/officeDocument/2006/relationships/image" Target="media/image3.png"/><Relationship Id="rId9" Type="http://schemas.openxmlformats.org/officeDocument/2006/relationships/hyperlink" Target="mailto:info@fuels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E6793B-C39D-1740-AEC0-2807D111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Dettori Gaia</cp:lastModifiedBy>
  <cp:revision>4</cp:revision>
  <cp:lastPrinted>2014-05-16T13:54:00Z</cp:lastPrinted>
  <dcterms:created xsi:type="dcterms:W3CDTF">2024-05-23T15:48:00Z</dcterms:created>
  <dcterms:modified xsi:type="dcterms:W3CDTF">2024-05-24T08:16:00Z</dcterms:modified>
</cp:coreProperties>
</file>